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49" w:rsidRPr="00324D96" w:rsidRDefault="00AE0F3B">
      <w:pPr>
        <w:pStyle w:val="Titolo1"/>
        <w:spacing w:before="0" w:line="240" w:lineRule="auto"/>
        <w:ind w:left="317" w:right="142"/>
        <w:jc w:val="center"/>
        <w:rPr>
          <w:rFonts w:ascii="Tahoma" w:hAnsi="Tahoma" w:cs="Tahoma"/>
          <w:b w:val="0"/>
          <w:color w:val="auto"/>
        </w:rPr>
      </w:pPr>
      <w:bookmarkStart w:id="0" w:name="_Toc493150785"/>
      <w:bookmarkStart w:id="1" w:name="_Toc518989694"/>
      <w:bookmarkStart w:id="2" w:name="_Toc534723015"/>
      <w:r w:rsidRPr="00324D96">
        <w:rPr>
          <w:rFonts w:ascii="Tahoma" w:hAnsi="Tahoma" w:cs="Tahoma"/>
          <w:b w:val="0"/>
          <w:color w:val="auto"/>
        </w:rPr>
        <w:t>Allegato B</w:t>
      </w:r>
      <w:bookmarkEnd w:id="0"/>
      <w:bookmarkEnd w:id="1"/>
      <w:bookmarkEnd w:id="2"/>
    </w:p>
    <w:p w:rsidR="006A66AF" w:rsidRPr="00324D96" w:rsidRDefault="006A66AF" w:rsidP="006A66AF">
      <w:pPr>
        <w:rPr>
          <w:rFonts w:ascii="Tahoma" w:hAnsi="Tahoma" w:cs="Tahoma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302"/>
      </w:tblGrid>
      <w:tr w:rsidR="004801D3" w:rsidRPr="00324D96" w:rsidTr="004801D3">
        <w:trPr>
          <w:trHeight w:val="142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01D3" w:rsidRPr="00324D96" w:rsidRDefault="004801D3" w:rsidP="00047D88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4D96">
              <w:rPr>
                <w:rFonts w:ascii="Tahoma" w:hAnsi="Tahoma" w:cs="Tahoma"/>
                <w:b/>
                <w:sz w:val="18"/>
                <w:szCs w:val="18"/>
              </w:rPr>
              <w:t>RELAZIONE TECNICA</w:t>
            </w:r>
          </w:p>
        </w:tc>
      </w:tr>
      <w:tr w:rsidR="00324D96" w:rsidRPr="00324D96" w:rsidTr="00324D96">
        <w:trPr>
          <w:trHeight w:val="36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>Operatore proponente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4D96" w:rsidRPr="00324D96" w:rsidTr="00324D96">
        <w:trPr>
          <w:trHeight w:val="36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>Breve descrizione dell'attività svolta e della sua dimensione economica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24D96" w:rsidRPr="00324D96" w:rsidTr="00324D96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 xml:space="preserve">Numero dei veicoli che costituiranno la flotta di monopattini in </w:t>
            </w:r>
            <w:proofErr w:type="spellStart"/>
            <w:r w:rsidRPr="00324D96">
              <w:rPr>
                <w:rFonts w:ascii="Tahoma" w:hAnsi="Tahoma" w:cs="Tahoma"/>
                <w:sz w:val="18"/>
                <w:szCs w:val="18"/>
              </w:rPr>
              <w:t>sharing</w:t>
            </w:r>
            <w:proofErr w:type="spellEnd"/>
            <w:r w:rsidRPr="00324D96">
              <w:rPr>
                <w:rFonts w:ascii="Tahoma" w:hAnsi="Tahoma" w:cs="Tahoma"/>
                <w:sz w:val="18"/>
                <w:szCs w:val="18"/>
              </w:rPr>
              <w:t xml:space="preserve"> a flusso libero </w:t>
            </w:r>
          </w:p>
          <w:p w:rsidR="00324D96" w:rsidRPr="00324D96" w:rsidRDefault="00915728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  <w:bookmarkStart w:id="3" w:name="_GoBack"/>
            <w:bookmarkEnd w:id="3"/>
            <w:r w:rsidR="00324D96" w:rsidRPr="00324D96">
              <w:rPr>
                <w:rFonts w:ascii="Tahoma" w:hAnsi="Tahoma" w:cs="Tahoma"/>
                <w:sz w:val="18"/>
                <w:szCs w:val="18"/>
              </w:rPr>
              <w:t xml:space="preserve">00 – </w:t>
            </w:r>
            <w:proofErr w:type="spellStart"/>
            <w:r w:rsidR="00324D96" w:rsidRPr="00324D96"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 w:rsidR="00324D96" w:rsidRPr="00324D96">
              <w:rPr>
                <w:rFonts w:ascii="Tahoma" w:hAnsi="Tahoma" w:cs="Tahoma"/>
                <w:sz w:val="18"/>
                <w:szCs w:val="18"/>
              </w:rPr>
              <w:t xml:space="preserve"> 500)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96" w:rsidRPr="00324D96" w:rsidRDefault="00324D96" w:rsidP="00047D88">
            <w:pPr>
              <w:spacing w:after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801D3" w:rsidRPr="00324D96" w:rsidTr="00324D96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D3" w:rsidRPr="00324D96" w:rsidRDefault="004801D3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4801D3">
              <w:rPr>
                <w:rFonts w:ascii="Tahoma" w:hAnsi="Tahoma" w:cs="Tahoma"/>
                <w:sz w:val="18"/>
                <w:szCs w:val="18"/>
              </w:rPr>
              <w:t xml:space="preserve">rospetto dei costi di utilizzo (a mero titolo esemplificativo: corsa singola, abbonamenti, eventuali facilitazioni, </w:t>
            </w:r>
            <w:proofErr w:type="spellStart"/>
            <w:r w:rsidRPr="004801D3">
              <w:rPr>
                <w:rFonts w:ascii="Tahoma" w:hAnsi="Tahoma" w:cs="Tahoma"/>
                <w:sz w:val="18"/>
                <w:szCs w:val="18"/>
              </w:rPr>
              <w:t>etc</w:t>
            </w:r>
            <w:proofErr w:type="spellEnd"/>
            <w:r w:rsidRPr="004801D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D3" w:rsidRPr="00324D96" w:rsidRDefault="004801D3" w:rsidP="00047D88">
            <w:pPr>
              <w:spacing w:after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801D3" w:rsidRPr="00324D96" w:rsidTr="00324D96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D3" w:rsidRDefault="004801D3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801D3">
              <w:rPr>
                <w:rFonts w:ascii="Tahoma" w:hAnsi="Tahoma" w:cs="Tahoma"/>
                <w:sz w:val="18"/>
                <w:szCs w:val="18"/>
              </w:rPr>
              <w:t xml:space="preserve">ventuali minuti gratuiti annui di </w:t>
            </w:r>
            <w:proofErr w:type="spellStart"/>
            <w:r w:rsidRPr="004801D3">
              <w:rPr>
                <w:rFonts w:ascii="Tahoma" w:hAnsi="Tahoma" w:cs="Tahoma"/>
                <w:sz w:val="18"/>
                <w:szCs w:val="18"/>
              </w:rPr>
              <w:t>sharing</w:t>
            </w:r>
            <w:proofErr w:type="spellEnd"/>
            <w:r w:rsidRPr="004801D3">
              <w:rPr>
                <w:rFonts w:ascii="Tahoma" w:hAnsi="Tahoma" w:cs="Tahoma"/>
                <w:sz w:val="18"/>
                <w:szCs w:val="18"/>
              </w:rPr>
              <w:t xml:space="preserve"> erogati per l’intera durata dell'autorizzazione da prevedere a servizio dell’amministrazione per l’incentivazione di politiche di mobilità sostenibile (art. 8.a)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1D3" w:rsidRPr="00324D96" w:rsidRDefault="004801D3" w:rsidP="00047D88">
            <w:pPr>
              <w:spacing w:after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7D8F" w:rsidRPr="00324D96" w:rsidTr="008C4BAC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324D96" w:rsidRDefault="00D07D8F" w:rsidP="00D91457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324D96">
              <w:rPr>
                <w:color w:val="auto"/>
                <w:sz w:val="18"/>
                <w:szCs w:val="18"/>
              </w:rPr>
              <w:t xml:space="preserve">Gestione di servizi di </w:t>
            </w:r>
            <w:proofErr w:type="spellStart"/>
            <w:r w:rsidRPr="00324D96">
              <w:rPr>
                <w:color w:val="auto"/>
                <w:sz w:val="18"/>
                <w:szCs w:val="18"/>
              </w:rPr>
              <w:t>sharing</w:t>
            </w:r>
            <w:proofErr w:type="spellEnd"/>
            <w:r w:rsidRPr="00324D96">
              <w:rPr>
                <w:color w:val="auto"/>
                <w:sz w:val="18"/>
                <w:szCs w:val="18"/>
              </w:rPr>
              <w:t xml:space="preserve"> di monopattini in città con più di 100.000 abitanti, con una flotta minima di 100 monopattini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07D8F">
              <w:rPr>
                <w:color w:val="auto"/>
                <w:sz w:val="18"/>
                <w:szCs w:val="18"/>
              </w:rPr>
              <w:t>(art. 8.b)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Pr="00324D96" w:rsidRDefault="00D07D8F" w:rsidP="00D91457">
            <w:pPr>
              <w:pStyle w:val="Paragrafoelenco"/>
              <w:spacing w:after="0" w:line="360" w:lineRule="auto"/>
              <w:ind w:left="23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>Comune di ---, numero veicoli ---, anno ---</w:t>
            </w:r>
          </w:p>
        </w:tc>
      </w:tr>
      <w:tr w:rsidR="00D07D8F" w:rsidRPr="00324D96" w:rsidTr="008C4BAC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Default="00D07D8F" w:rsidP="00D91457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324D96">
              <w:rPr>
                <w:color w:val="auto"/>
                <w:sz w:val="18"/>
                <w:szCs w:val="18"/>
              </w:rPr>
              <w:t>Elenco dei dati forniti dal proponente al Comune di Bari, nel report di cui all’art. 4 lettera c) dell’Avviso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D07D8F" w:rsidRPr="00324D96" w:rsidRDefault="00D07D8F" w:rsidP="00D91457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D07D8F">
              <w:rPr>
                <w:color w:val="auto"/>
                <w:sz w:val="18"/>
                <w:szCs w:val="18"/>
              </w:rPr>
              <w:t>(art. 8.c)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Pr="00324D96" w:rsidRDefault="00D07D8F" w:rsidP="00D91457">
            <w:pPr>
              <w:pStyle w:val="Paragrafoelenco"/>
              <w:spacing w:after="0" w:line="360" w:lineRule="auto"/>
              <w:ind w:left="239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7D8F" w:rsidRPr="00324D96" w:rsidTr="008C4BAC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324D96" w:rsidRDefault="00D07D8F" w:rsidP="00D91457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324D96">
              <w:rPr>
                <w:color w:val="auto"/>
                <w:sz w:val="20"/>
                <w:szCs w:val="20"/>
              </w:rPr>
              <w:t xml:space="preserve">Messa a disposizione del Comune di Bari di una </w:t>
            </w:r>
            <w:proofErr w:type="spellStart"/>
            <w:r w:rsidRPr="00324D96">
              <w:rPr>
                <w:color w:val="auto"/>
                <w:sz w:val="20"/>
                <w:szCs w:val="20"/>
              </w:rPr>
              <w:t>dashboard</w:t>
            </w:r>
            <w:proofErr w:type="spellEnd"/>
            <w:r w:rsidRPr="00324D96">
              <w:rPr>
                <w:color w:val="auto"/>
                <w:sz w:val="20"/>
                <w:szCs w:val="20"/>
              </w:rPr>
              <w:t xml:space="preserve"> di pubblicazione dei dati di servizio, preferibilmente realizzato con web service, che esponga detti </w:t>
            </w:r>
            <w:r w:rsidRPr="00324D96">
              <w:rPr>
                <w:color w:val="auto"/>
                <w:sz w:val="20"/>
                <w:szCs w:val="20"/>
              </w:rPr>
              <w:lastRenderedPageBreak/>
              <w:t>dati in tempo reale.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Default="00D07D8F" w:rsidP="00D91457">
            <w:pPr>
              <w:pStyle w:val="Paragrafoelenco"/>
              <w:spacing w:after="0" w:line="360" w:lineRule="auto"/>
              <w:ind w:left="1146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07D8F" w:rsidRDefault="00D07D8F" w:rsidP="00D91457">
            <w:pPr>
              <w:pStyle w:val="Paragrafoelenco"/>
              <w:spacing w:after="0" w:line="360" w:lineRule="auto"/>
              <w:ind w:left="1146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D07D8F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>Sì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4D96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D07D8F" w:rsidRPr="00324D96" w:rsidTr="008C4BAC">
        <w:trPr>
          <w:trHeight w:val="412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D07D8F" w:rsidRDefault="00D07D8F" w:rsidP="00D07D8F">
            <w:pPr>
              <w:pStyle w:val="LO-normal"/>
              <w:shd w:val="clear" w:color="auto" w:fill="FFFFFF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E</w:t>
            </w:r>
            <w:r w:rsidRPr="00D07D8F">
              <w:rPr>
                <w:color w:val="auto"/>
                <w:sz w:val="20"/>
                <w:szCs w:val="20"/>
              </w:rPr>
              <w:t xml:space="preserve">lenco dei quartieri nei quali sarà garantita l’attività di </w:t>
            </w:r>
            <w:proofErr w:type="spellStart"/>
            <w:r w:rsidRPr="00D07D8F">
              <w:rPr>
                <w:color w:val="auto"/>
                <w:sz w:val="20"/>
                <w:szCs w:val="20"/>
              </w:rPr>
              <w:t>sharing</w:t>
            </w:r>
            <w:proofErr w:type="spellEnd"/>
            <w:r w:rsidRPr="00D07D8F">
              <w:rPr>
                <w:color w:val="auto"/>
                <w:sz w:val="20"/>
                <w:szCs w:val="20"/>
              </w:rPr>
              <w:t xml:space="preserve"> considerando un’estensione dell’area di azione dei veicoli pari ad almeno il 50% della superficie </w:t>
            </w:r>
            <w:r w:rsidR="008C7424">
              <w:rPr>
                <w:color w:val="auto"/>
                <w:sz w:val="20"/>
                <w:szCs w:val="20"/>
              </w:rPr>
              <w:t xml:space="preserve">del centro abitato </w:t>
            </w:r>
            <w:r w:rsidRPr="00D07D8F">
              <w:rPr>
                <w:color w:val="auto"/>
                <w:sz w:val="20"/>
                <w:szCs w:val="20"/>
              </w:rPr>
              <w:t>del singolo quartiere</w:t>
            </w:r>
            <w:r w:rsidR="008C7424">
              <w:t xml:space="preserve"> </w:t>
            </w:r>
            <w:r w:rsidR="008C7424" w:rsidRPr="008C7424">
              <w:rPr>
                <w:color w:val="auto"/>
                <w:sz w:val="20"/>
                <w:szCs w:val="20"/>
              </w:rPr>
              <w:t xml:space="preserve">così come individuata nell’allegato C  </w:t>
            </w:r>
            <w:r w:rsidRPr="00D07D8F">
              <w:rPr>
                <w:color w:val="auto"/>
                <w:sz w:val="20"/>
                <w:szCs w:val="20"/>
              </w:rPr>
              <w:t>(art. 8.d)</w:t>
            </w:r>
          </w:p>
          <w:p w:rsidR="00D07D8F" w:rsidRPr="00324D96" w:rsidRDefault="00D07D8F" w:rsidP="00D91457">
            <w:pPr>
              <w:pStyle w:val="LO-normal"/>
              <w:shd w:val="clear" w:color="auto" w:fill="FFFFFF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Default="00D07D8F" w:rsidP="00D91457">
            <w:pPr>
              <w:spacing w:after="0" w:line="360" w:lineRule="auto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Quartieri di Bari coperti dal servizio: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San Nicola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proofErr w:type="spellStart"/>
            <w:r w:rsidRPr="00324D96">
              <w:rPr>
                <w:rFonts w:ascii="Tahoma" w:hAnsi="Tahoma" w:cs="Tahoma"/>
                <w:szCs w:val="20"/>
              </w:rPr>
              <w:t>Murat</w:t>
            </w:r>
            <w:proofErr w:type="spellEnd"/>
            <w:r w:rsidRPr="00324D96">
              <w:rPr>
                <w:rFonts w:ascii="Tahoma" w:hAnsi="Tahoma" w:cs="Tahoma"/>
                <w:szCs w:val="20"/>
              </w:rPr>
              <w:t xml:space="preserve"> – Umbertino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Libertà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Madonnella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Marconi - San Girolamo – Fesca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proofErr w:type="spellStart"/>
            <w:r w:rsidRPr="00324D96">
              <w:rPr>
                <w:rFonts w:ascii="Tahoma" w:hAnsi="Tahoma" w:cs="Tahoma"/>
                <w:szCs w:val="20"/>
              </w:rPr>
              <w:t>Picone</w:t>
            </w:r>
            <w:proofErr w:type="spellEnd"/>
            <w:r w:rsidRPr="00324D96">
              <w:rPr>
                <w:rFonts w:ascii="Tahoma" w:hAnsi="Tahoma" w:cs="Tahoma"/>
                <w:szCs w:val="20"/>
              </w:rPr>
              <w:t xml:space="preserve"> – </w:t>
            </w:r>
            <w:proofErr w:type="spellStart"/>
            <w:r w:rsidRPr="00324D96">
              <w:rPr>
                <w:rFonts w:ascii="Tahoma" w:hAnsi="Tahoma" w:cs="Tahoma"/>
                <w:szCs w:val="20"/>
              </w:rPr>
              <w:t>Poggiofranco</w:t>
            </w:r>
            <w:proofErr w:type="spellEnd"/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proofErr w:type="spellStart"/>
            <w:r w:rsidRPr="00324D96">
              <w:rPr>
                <w:rFonts w:ascii="Tahoma" w:hAnsi="Tahoma" w:cs="Tahoma"/>
                <w:szCs w:val="20"/>
              </w:rPr>
              <w:t>Carrassi</w:t>
            </w:r>
            <w:proofErr w:type="spellEnd"/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San Pasquale – Mungivacca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proofErr w:type="spellStart"/>
            <w:r w:rsidRPr="00324D96">
              <w:rPr>
                <w:rFonts w:ascii="Tahoma" w:hAnsi="Tahoma" w:cs="Tahoma"/>
                <w:szCs w:val="20"/>
              </w:rPr>
              <w:t>Stan</w:t>
            </w:r>
            <w:r>
              <w:rPr>
                <w:rFonts w:ascii="Tahoma" w:hAnsi="Tahoma" w:cs="Tahoma"/>
                <w:szCs w:val="20"/>
              </w:rPr>
              <w:t>ic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– Villaggio del Lavoratore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proofErr w:type="spellStart"/>
            <w:r w:rsidRPr="00324D96">
              <w:rPr>
                <w:rFonts w:ascii="Tahoma" w:hAnsi="Tahoma" w:cs="Tahoma"/>
                <w:szCs w:val="20"/>
              </w:rPr>
              <w:t>Japigia</w:t>
            </w:r>
            <w:proofErr w:type="spellEnd"/>
            <w:r w:rsidRPr="00324D96">
              <w:rPr>
                <w:rFonts w:ascii="Tahoma" w:hAnsi="Tahoma" w:cs="Tahoma"/>
                <w:szCs w:val="20"/>
              </w:rPr>
              <w:t xml:space="preserve"> – Sant’Anna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San Paolo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Carbonara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Ceglie del Campo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Loseto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 w:rsidRPr="00324D96">
              <w:rPr>
                <w:rFonts w:ascii="Tahoma" w:hAnsi="Tahoma" w:cs="Tahoma"/>
                <w:szCs w:val="20"/>
              </w:rPr>
              <w:t>Torre a Mare –</w:t>
            </w:r>
            <w:r>
              <w:rPr>
                <w:rFonts w:ascii="Tahoma" w:hAnsi="Tahoma" w:cs="Tahoma"/>
                <w:szCs w:val="20"/>
              </w:rPr>
              <w:t xml:space="preserve"> San Giorgio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Palese</w:t>
            </w:r>
          </w:p>
          <w:p w:rsidR="00D07D8F" w:rsidRPr="00324D96" w:rsidRDefault="00D07D8F" w:rsidP="00D91457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359"/>
              <w:jc w:val="both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Santo Spirito</w:t>
            </w:r>
          </w:p>
          <w:p w:rsidR="00D07D8F" w:rsidRPr="00324D96" w:rsidRDefault="00D07D8F" w:rsidP="00D91457">
            <w:pPr>
              <w:pStyle w:val="Paragrafoelenco"/>
              <w:spacing w:after="0" w:line="360" w:lineRule="auto"/>
              <w:ind w:left="114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7D8F" w:rsidRPr="00324D96" w:rsidTr="00324D96">
        <w:trPr>
          <w:trHeight w:val="56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D07D8F" w:rsidRDefault="00D07D8F" w:rsidP="00D07D8F">
            <w:pPr>
              <w:pStyle w:val="LO-normal"/>
              <w:shd w:val="clear" w:color="auto" w:fill="FFFFFF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D07D8F">
              <w:rPr>
                <w:color w:val="auto"/>
                <w:sz w:val="20"/>
                <w:szCs w:val="20"/>
              </w:rPr>
              <w:t>escrizione relativa alle modalità di utilizzo del sistema: modalità di presa e rilascio, accessibilità dell’applicazione con particolare riferimento alle modalità di registrazione e identificazione dell’utente, ricerca dei dispositivi liberi, possibilità di prenotazione del dispositivo (art. 8.e)</w:t>
            </w:r>
          </w:p>
          <w:p w:rsidR="00D07D8F" w:rsidRPr="00324D96" w:rsidRDefault="00D07D8F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Pr="00324D96" w:rsidRDefault="00D07D8F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7D8F" w:rsidRPr="00324D96" w:rsidTr="00324D96">
        <w:trPr>
          <w:trHeight w:val="56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324D96" w:rsidRDefault="00D07D8F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Pr="00D07D8F">
              <w:rPr>
                <w:color w:val="auto"/>
                <w:sz w:val="18"/>
                <w:szCs w:val="18"/>
              </w:rPr>
              <w:t xml:space="preserve">escrizione relativa all’incentivazione del corretto utilizzo del dispositivo: sistemi di </w:t>
            </w:r>
            <w:proofErr w:type="spellStart"/>
            <w:r w:rsidRPr="00D07D8F">
              <w:rPr>
                <w:color w:val="auto"/>
                <w:sz w:val="18"/>
                <w:szCs w:val="18"/>
              </w:rPr>
              <w:t>premialità</w:t>
            </w:r>
            <w:proofErr w:type="spellEnd"/>
            <w:r w:rsidRPr="00D07D8F">
              <w:rPr>
                <w:color w:val="auto"/>
                <w:sz w:val="18"/>
                <w:szCs w:val="18"/>
              </w:rPr>
              <w:t xml:space="preserve"> per gli utenti virtuosi che effettuano un corretto utilizzo dei mezzi e di disincentivazione dei </w:t>
            </w:r>
            <w:r w:rsidRPr="00D07D8F">
              <w:rPr>
                <w:color w:val="auto"/>
                <w:sz w:val="18"/>
                <w:szCs w:val="18"/>
              </w:rPr>
              <w:lastRenderedPageBreak/>
              <w:t>comportamenti scorretti (sosta, rispetto del codice della strada, utilizzo con più utenti etc.) (art. 8.f)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Pr="00324D96" w:rsidRDefault="00D07D8F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7D8F" w:rsidRPr="00324D96" w:rsidTr="00324D96">
        <w:trPr>
          <w:trHeight w:val="56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D8F" w:rsidRPr="00324D96" w:rsidRDefault="00D07D8F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D</w:t>
            </w:r>
            <w:r w:rsidRPr="00D07D8F">
              <w:rPr>
                <w:color w:val="auto"/>
                <w:sz w:val="18"/>
                <w:szCs w:val="18"/>
              </w:rPr>
              <w:t>escrizione delle modalità di gestione dell’attività: frequenza dei recuperi, modalità di ridistribuzione sul territorio dei mezzi e cadenza temporale della stessa, modalità di manutenzione e sostituzione dei mezzi inservibili (art. 8.g)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D8F" w:rsidRPr="00324D96" w:rsidRDefault="00D07D8F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1649" w:rsidRPr="00047D88" w:rsidRDefault="00051649">
      <w:pPr>
        <w:spacing w:after="0"/>
        <w:rPr>
          <w:rFonts w:ascii="Tahoma" w:hAnsi="Tahoma" w:cs="Tahoma"/>
          <w:sz w:val="18"/>
        </w:rPr>
      </w:pP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AE0F3B">
      <w:pPr>
        <w:spacing w:after="120"/>
        <w:rPr>
          <w:rFonts w:ascii="Tahoma" w:hAnsi="Tahoma" w:cs="Tahoma"/>
        </w:rPr>
      </w:pPr>
      <w:r w:rsidRPr="00047D88">
        <w:rPr>
          <w:rFonts w:ascii="Tahoma" w:hAnsi="Tahoma" w:cs="Tahoma"/>
        </w:rPr>
        <w:t xml:space="preserve">Luogo e data </w:t>
      </w:r>
    </w:p>
    <w:p w:rsidR="00051649" w:rsidRPr="00047D88" w:rsidRDefault="00AE0F3B">
      <w:pPr>
        <w:spacing w:after="120"/>
        <w:rPr>
          <w:rFonts w:ascii="Tahoma" w:hAnsi="Tahoma" w:cs="Tahoma"/>
        </w:rPr>
      </w:pPr>
      <w:r w:rsidRPr="00047D88">
        <w:rPr>
          <w:rFonts w:ascii="Tahoma" w:hAnsi="Tahoma" w:cs="Tahoma"/>
        </w:rPr>
        <w:tab/>
      </w:r>
      <w:r w:rsidRPr="00047D88">
        <w:rPr>
          <w:rFonts w:ascii="Tahoma" w:hAnsi="Tahoma" w:cs="Tahoma"/>
        </w:rPr>
        <w:tab/>
        <w:t xml:space="preserve">                                                                                       IL RICHIEDENTE</w:t>
      </w: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051649">
      <w:pPr>
        <w:rPr>
          <w:rFonts w:ascii="Tahoma" w:hAnsi="Tahoma" w:cs="Tahoma"/>
        </w:rPr>
      </w:pPr>
    </w:p>
    <w:sectPr w:rsidR="00051649" w:rsidRPr="00047D88" w:rsidSect="006A66AF">
      <w:headerReference w:type="default" r:id="rId9"/>
      <w:footerReference w:type="default" r:id="rId10"/>
      <w:pgSz w:w="11906" w:h="16838"/>
      <w:pgMar w:top="1134" w:right="1134" w:bottom="1134" w:left="1134" w:header="708" w:footer="27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D3" w:rsidRDefault="004801D3">
      <w:pPr>
        <w:spacing w:after="0" w:line="240" w:lineRule="auto"/>
      </w:pPr>
      <w:r>
        <w:separator/>
      </w:r>
    </w:p>
  </w:endnote>
  <w:endnote w:type="continuationSeparator" w:id="0">
    <w:p w:rsidR="004801D3" w:rsidRDefault="0048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D3" w:rsidRPr="009019EA" w:rsidRDefault="004801D3" w:rsidP="006A66AF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sz w:val="17"/>
        <w:szCs w:val="17"/>
      </w:rPr>
    </w:pPr>
    <w:r w:rsidRPr="009019EA">
      <w:rPr>
        <w:rFonts w:ascii="Tahoma" w:hAnsi="Tahoma" w:cs="Tahoma"/>
        <w:sz w:val="17"/>
        <w:szCs w:val="17"/>
      </w:rPr>
      <w:t>Ripartizione Infrastrutture, Viabilità e Opere Pubbliche | Settore Urbanizzazioni Primarie | POS Traffico e Mobilità</w:t>
    </w:r>
  </w:p>
  <w:p w:rsidR="004801D3" w:rsidRPr="009019EA" w:rsidRDefault="004801D3" w:rsidP="006A66AF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i/>
        <w:sz w:val="17"/>
        <w:szCs w:val="17"/>
      </w:rPr>
    </w:pPr>
    <w:r w:rsidRPr="009019EA">
      <w:rPr>
        <w:rFonts w:ascii="Tahoma" w:hAnsi="Tahoma" w:cs="Tahoma"/>
        <w:i/>
        <w:sz w:val="17"/>
        <w:szCs w:val="17"/>
      </w:rPr>
      <w:t>Via Giulio Petroni, 103 | 70124 | Bari | PEC: traffico.comunebari@pec.rupar.puglia.it</w:t>
    </w:r>
  </w:p>
  <w:p w:rsidR="004801D3" w:rsidRDefault="004801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D3" w:rsidRDefault="004801D3">
      <w:pPr>
        <w:spacing w:after="0" w:line="240" w:lineRule="auto"/>
      </w:pPr>
      <w:r>
        <w:separator/>
      </w:r>
    </w:p>
  </w:footnote>
  <w:footnote w:type="continuationSeparator" w:id="0">
    <w:p w:rsidR="004801D3" w:rsidRDefault="0048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D3" w:rsidRPr="00646965" w:rsidRDefault="004801D3" w:rsidP="00646965">
    <w:pPr>
      <w:spacing w:after="0" w:line="276" w:lineRule="auto"/>
      <w:jc w:val="center"/>
      <w:rPr>
        <w:rFonts w:ascii="Times New Roman" w:eastAsia="Times New Roman" w:hAnsi="Times New Roman" w:cs="Times New Roman"/>
        <w:i/>
        <w:sz w:val="8"/>
        <w:szCs w:val="20"/>
        <w:lang w:eastAsia="it-IT"/>
      </w:rPr>
    </w:pPr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 xml:space="preserve">Attività di </w:t>
    </w:r>
    <w:proofErr w:type="spellStart"/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>sharing</w:t>
    </w:r>
    <w:proofErr w:type="spellEnd"/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 xml:space="preserve"> a flusso libero nella Città di Bari</w:t>
    </w:r>
  </w:p>
  <w:p w:rsidR="004801D3" w:rsidRPr="00646965" w:rsidRDefault="004801D3" w:rsidP="006469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E54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D081CFB"/>
    <w:multiLevelType w:val="multilevel"/>
    <w:tmpl w:val="F914F5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310428A"/>
    <w:multiLevelType w:val="hybridMultilevel"/>
    <w:tmpl w:val="C53C28E2"/>
    <w:lvl w:ilvl="0" w:tplc="BF1415F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F500FA"/>
    <w:multiLevelType w:val="multilevel"/>
    <w:tmpl w:val="3730882E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55C6E53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26140F23"/>
    <w:multiLevelType w:val="hybridMultilevel"/>
    <w:tmpl w:val="EAD81A4E"/>
    <w:lvl w:ilvl="0" w:tplc="CAD49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455E5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3F393A12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nsid w:val="49131B17"/>
    <w:multiLevelType w:val="multilevel"/>
    <w:tmpl w:val="EE42D7F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5EB33F04"/>
    <w:multiLevelType w:val="multilevel"/>
    <w:tmpl w:val="55BC6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39613CC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nsid w:val="76B127ED"/>
    <w:multiLevelType w:val="multilevel"/>
    <w:tmpl w:val="C430DE76"/>
    <w:lvl w:ilvl="0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544C4C"/>
    <w:multiLevelType w:val="multilevel"/>
    <w:tmpl w:val="C430DE76"/>
    <w:lvl w:ilvl="0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F400F56"/>
    <w:multiLevelType w:val="multilevel"/>
    <w:tmpl w:val="07AA6DFE"/>
    <w:lvl w:ilvl="0">
      <w:start w:val="1"/>
      <w:numFmt w:val="bullet"/>
      <w:lvlText w:val=""/>
      <w:lvlJc w:val="left"/>
      <w:pPr>
        <w:ind w:left="1146" w:hanging="360"/>
      </w:pPr>
      <w:rPr>
        <w:rFonts w:ascii="Symbol" w:hAnsi="Symbol" w:cs="Symbol" w:hint="default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649"/>
    <w:rsid w:val="00047D88"/>
    <w:rsid w:val="00051649"/>
    <w:rsid w:val="00324D96"/>
    <w:rsid w:val="003B3AA5"/>
    <w:rsid w:val="004801D3"/>
    <w:rsid w:val="004A31EA"/>
    <w:rsid w:val="00646965"/>
    <w:rsid w:val="006A66AF"/>
    <w:rsid w:val="007377F1"/>
    <w:rsid w:val="008C7424"/>
    <w:rsid w:val="00915728"/>
    <w:rsid w:val="009242EB"/>
    <w:rsid w:val="00A367CD"/>
    <w:rsid w:val="00AE0F3B"/>
    <w:rsid w:val="00B35A89"/>
    <w:rsid w:val="00CF6ADF"/>
    <w:rsid w:val="00D07D8F"/>
    <w:rsid w:val="00E13D32"/>
    <w:rsid w:val="00F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DD5"/>
    <w:pPr>
      <w:spacing w:after="160" w:line="259" w:lineRule="auto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1D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F1DD5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7F1DD5"/>
    <w:rPr>
      <w:rFonts w:ascii="Calibri Light" w:eastAsia="Cambria" w:hAnsi="Calibri Light" w:cs="Times New Roman"/>
      <w:sz w:val="20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1DD5"/>
    <w:rPr>
      <w:rFonts w:ascii="Calibri Light" w:hAnsi="Calibri Light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1DD5"/>
    <w:rPr>
      <w:rFonts w:ascii="Calibri Light" w:hAnsi="Calibri Light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1DD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ebdings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18"/>
    </w:rPr>
  </w:style>
  <w:style w:type="character" w:customStyle="1" w:styleId="ListLabel11">
    <w:name w:val="ListLabel 11"/>
    <w:qFormat/>
    <w:rPr>
      <w:b/>
      <w:sz w:val="18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7F1DD5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1D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367CD"/>
    <w:pPr>
      <w:suppressAutoHyphens/>
      <w:spacing w:line="360" w:lineRule="auto"/>
      <w:jc w:val="both"/>
    </w:pPr>
    <w:rPr>
      <w:rFonts w:ascii="Tahoma" w:eastAsia="Tahoma" w:hAnsi="Tahoma" w:cs="Tahoma"/>
      <w:color w:val="202124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8029-F4EF-44E5-8C8D-073E0FA4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i.ditria</dc:creator>
  <cp:lastModifiedBy>Binetti Giulio Piero</cp:lastModifiedBy>
  <cp:revision>16</cp:revision>
  <cp:lastPrinted>2022-06-29T13:55:00Z</cp:lastPrinted>
  <dcterms:created xsi:type="dcterms:W3CDTF">2019-03-22T13:13:00Z</dcterms:created>
  <dcterms:modified xsi:type="dcterms:W3CDTF">2022-06-29T13:55:00Z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